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3095.0" w:type="dxa"/>
        <w:jc w:val="center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5"/>
        <w:gridCol w:w="10710"/>
        <w:tblGridChange w:id="0">
          <w:tblGrid>
            <w:gridCol w:w="2385"/>
            <w:gridCol w:w="10710"/>
          </w:tblGrid>
        </w:tblGridChange>
      </w:tblGrid>
      <w:tr>
        <w:trPr>
          <w:trHeight w:val="300" w:hRule="atLeast"/>
        </w:trPr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bookmarkStart w:colFirst="0" w:colLast="0" w:name="h.gjdgxs" w:id="0"/>
            <w:bookmarkEnd w:id="0"/>
            <w:r w:rsidDel="00000000" w:rsidR="00000000" w:rsidRPr="00000000">
              <w:drawing>
                <wp:inline distB="114300" distT="114300" distL="114300" distR="114300">
                  <wp:extent cx="952500" cy="952500"/>
                  <wp:effectExtent b="0" l="0" r="0" t="0"/>
                  <wp:docPr descr="HCES logo.jpg" id="1" name="image01.jpg"/>
                  <a:graphic>
                    <a:graphicData uri="http://schemas.openxmlformats.org/drawingml/2006/picture">
                      <pic:pic>
                        <pic:nvPicPr>
                          <pic:cNvPr descr="HCES logo.jpg" id="0" name="image01.jpg"/>
                          <pic:cNvPicPr preferRelativeResize="0"/>
                        </pic:nvPicPr>
                        <pic:blipFill>
                          <a:blip r:embed="rId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00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Lucida Bright" w:cs="Lucida Bright" w:eastAsia="Lucida Bright" w:hAnsi="Lucida Bright"/>
                <w:b w:val="1"/>
                <w:color w:val="0070c0"/>
                <w:sz w:val="29"/>
                <w:szCs w:val="29"/>
                <w:rtl w:val="0"/>
              </w:rPr>
              <w:t xml:space="preserve">Classroom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8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Counts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Walk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Keep hands and feet to self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Use materials as instructed 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Stay in designated areas</w:t>
            </w:r>
          </w:p>
        </w:tc>
      </w:tr>
      <w:tr>
        <w:trPr>
          <w:trHeight w:val="160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O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On task</w:t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Listen and follow directions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Give your best effort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Work diligently </w:t>
            </w:r>
          </w:p>
        </w:tc>
      </w:tr>
      <w:tr>
        <w:trPr>
          <w:trHeight w:val="19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A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Accountable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Ask for help when needed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Do your work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Own your actions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b8cce4"/>
            <w:vAlign w:val="center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40"/>
                <w:szCs w:val="40"/>
                <w:rtl w:val="0"/>
              </w:rPr>
              <w:t xml:space="preserve">R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Respectful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/>
          </w:tcPr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Take care of all property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Wait patiently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ind w:left="720" w:hanging="360"/>
              <w:contextualSpacing w:val="1"/>
              <w:jc w:val="center"/>
              <w:rPr>
                <w:sz w:val="29"/>
                <w:szCs w:val="29"/>
              </w:rPr>
            </w:pPr>
            <w:r w:rsidDel="00000000" w:rsidR="00000000" w:rsidRPr="00000000">
              <w:rPr>
                <w:rFonts w:ascii="Calibri" w:cs="Calibri" w:eastAsia="Calibri" w:hAnsi="Calibri"/>
                <w:sz w:val="29"/>
                <w:szCs w:val="29"/>
                <w:rtl w:val="0"/>
              </w:rPr>
              <w:t xml:space="preserve">Speak nicely with appropriate tone and language</w:t>
            </w:r>
          </w:p>
          <w:p w:rsidR="00000000" w:rsidDel="00000000" w:rsidP="00000000" w:rsidRDefault="00000000" w:rsidRPr="00000000">
            <w:pPr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Lucida Bright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