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957ADA" w:rsidP="00676058">
                            <w:pPr>
                              <w:spacing w:line="240" w:lineRule="auto"/>
                              <w:jc w:val="center"/>
                              <w:rPr>
                                <w:b/>
                                <w:sz w:val="28"/>
                                <w:szCs w:val="28"/>
                              </w:rPr>
                            </w:pPr>
                            <w:r>
                              <w:rPr>
                                <w:b/>
                                <w:sz w:val="28"/>
                                <w:szCs w:val="28"/>
                              </w:rPr>
                              <w:t>Monday, September 19</w:t>
                            </w:r>
                            <w:r w:rsidRPr="00957ADA">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2:30-3:30</w:t>
                            </w:r>
                            <w:r w:rsidR="00676058" w:rsidRPr="00D236DA">
                              <w:rPr>
                                <w:b/>
                                <w:sz w:val="28"/>
                                <w:szCs w:val="28"/>
                              </w:rPr>
                              <w:t>pm  *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957ADA" w:rsidP="00676058">
                      <w:pPr>
                        <w:spacing w:line="240" w:lineRule="auto"/>
                        <w:jc w:val="center"/>
                        <w:rPr>
                          <w:b/>
                          <w:sz w:val="28"/>
                          <w:szCs w:val="28"/>
                        </w:rPr>
                      </w:pPr>
                      <w:r>
                        <w:rPr>
                          <w:b/>
                          <w:sz w:val="28"/>
                          <w:szCs w:val="28"/>
                        </w:rPr>
                        <w:t>Monday, September 19</w:t>
                      </w:r>
                      <w:r w:rsidRPr="00957ADA">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2:30-3:30</w:t>
                      </w:r>
                      <w:r w:rsidR="00676058" w:rsidRPr="00D236DA">
                        <w:rPr>
                          <w:b/>
                          <w:sz w:val="28"/>
                          <w:szCs w:val="28"/>
                        </w:rPr>
                        <w:t>pm  *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r>
        <w:rPr>
          <w:sz w:val="24"/>
          <w:szCs w:val="24"/>
        </w:rPr>
        <w:t>Haynie</w:t>
      </w:r>
      <w:r w:rsidR="008E596F">
        <w:rPr>
          <w:sz w:val="24"/>
          <w:szCs w:val="24"/>
        </w:rPr>
        <w:tab/>
      </w:r>
      <w:r w:rsidR="008E596F">
        <w:rPr>
          <w:sz w:val="24"/>
          <w:szCs w:val="24"/>
        </w:rPr>
        <w:tab/>
      </w:r>
      <w:r w:rsidR="008E596F">
        <w:rPr>
          <w:sz w:val="24"/>
          <w:szCs w:val="24"/>
        </w:rPr>
        <w:tab/>
        <w:t>7-1:</w:t>
      </w:r>
      <w:r>
        <w:rPr>
          <w:sz w:val="24"/>
          <w:szCs w:val="24"/>
        </w:rPr>
        <w:t xml:space="preserve"> </w:t>
      </w:r>
      <w:r w:rsidR="00957ADA">
        <w:rPr>
          <w:sz w:val="24"/>
          <w:szCs w:val="24"/>
        </w:rPr>
        <w:t>Tracked Out</w:t>
      </w:r>
      <w:r w:rsidR="001A3E19">
        <w:rPr>
          <w:sz w:val="24"/>
          <w:szCs w:val="24"/>
        </w:rPr>
        <w:tab/>
      </w:r>
      <w:r w:rsidR="00AD7DD9">
        <w:rPr>
          <w:sz w:val="24"/>
          <w:szCs w:val="24"/>
        </w:rPr>
        <w:tab/>
      </w:r>
      <w:r w:rsidR="00E01100">
        <w:rPr>
          <w:sz w:val="24"/>
          <w:szCs w:val="24"/>
        </w:rPr>
        <w:t>8-1:</w:t>
      </w:r>
      <w:r>
        <w:rPr>
          <w:sz w:val="24"/>
          <w:szCs w:val="24"/>
        </w:rPr>
        <w:t xml:space="preserve"> </w:t>
      </w:r>
      <w:r w:rsidR="00957ADA">
        <w:rPr>
          <w:sz w:val="24"/>
          <w:szCs w:val="24"/>
        </w:rPr>
        <w:t>Tracked Out</w:t>
      </w:r>
    </w:p>
    <w:p w:rsidR="00CD3F0E" w:rsidRDefault="0092169C" w:rsidP="008E596F">
      <w:pPr>
        <w:spacing w:line="240" w:lineRule="auto"/>
        <w:rPr>
          <w:sz w:val="24"/>
          <w:szCs w:val="24"/>
        </w:rPr>
      </w:pPr>
      <w:r>
        <w:rPr>
          <w:sz w:val="24"/>
          <w:szCs w:val="24"/>
        </w:rPr>
        <w:t>6-2:</w:t>
      </w:r>
      <w:r w:rsidR="00AD103A">
        <w:rPr>
          <w:sz w:val="24"/>
          <w:szCs w:val="24"/>
        </w:rPr>
        <w:t xml:space="preserve"> </w:t>
      </w:r>
      <w:r w:rsidR="00CD3F0E">
        <w:rPr>
          <w:sz w:val="24"/>
          <w:szCs w:val="24"/>
        </w:rPr>
        <w:t>H. Ledford</w:t>
      </w:r>
      <w:r w:rsidR="00CD3F0E">
        <w:rPr>
          <w:sz w:val="24"/>
          <w:szCs w:val="24"/>
        </w:rPr>
        <w:tab/>
        <w:t xml:space="preserve">              </w:t>
      </w:r>
      <w:r>
        <w:rPr>
          <w:sz w:val="24"/>
          <w:szCs w:val="24"/>
        </w:rPr>
        <w:t>8-2</w:t>
      </w:r>
      <w:r w:rsidR="00E01100">
        <w:rPr>
          <w:sz w:val="24"/>
          <w:szCs w:val="24"/>
        </w:rPr>
        <w:t>:</w:t>
      </w:r>
      <w:r>
        <w:rPr>
          <w:sz w:val="24"/>
          <w:szCs w:val="24"/>
        </w:rPr>
        <w:t xml:space="preserve"> </w:t>
      </w:r>
      <w:r w:rsidR="00CD3F0E">
        <w:rPr>
          <w:sz w:val="24"/>
          <w:szCs w:val="24"/>
        </w:rPr>
        <w:t>S. El Shafie</w:t>
      </w:r>
      <w:r w:rsidR="00AD103A">
        <w:rPr>
          <w:sz w:val="24"/>
          <w:szCs w:val="24"/>
        </w:rPr>
        <w:tab/>
      </w:r>
      <w:r w:rsidR="00CD3F0E">
        <w:rPr>
          <w:sz w:val="24"/>
          <w:szCs w:val="24"/>
        </w:rPr>
        <w:tab/>
      </w:r>
      <w:r w:rsidR="00E01100">
        <w:rPr>
          <w:sz w:val="24"/>
          <w:szCs w:val="24"/>
        </w:rPr>
        <w:t>7-3/8-3:</w:t>
      </w:r>
      <w:r w:rsidR="00C70B71">
        <w:rPr>
          <w:sz w:val="24"/>
          <w:szCs w:val="24"/>
        </w:rPr>
        <w:t xml:space="preserve"> </w:t>
      </w:r>
      <w:r w:rsidR="00957ADA">
        <w:rPr>
          <w:sz w:val="24"/>
          <w:szCs w:val="24"/>
        </w:rPr>
        <w:t>T. Hackman</w:t>
      </w:r>
      <w:r>
        <w:rPr>
          <w:sz w:val="24"/>
          <w:szCs w:val="24"/>
        </w:rPr>
        <w:tab/>
      </w:r>
    </w:p>
    <w:p w:rsidR="00CD3F0E" w:rsidRDefault="00E01100" w:rsidP="008E596F">
      <w:pPr>
        <w:spacing w:line="240" w:lineRule="auto"/>
        <w:rPr>
          <w:sz w:val="24"/>
          <w:szCs w:val="24"/>
        </w:rPr>
      </w:pPr>
      <w:r>
        <w:rPr>
          <w:sz w:val="24"/>
          <w:szCs w:val="24"/>
        </w:rPr>
        <w:t>8-4:</w:t>
      </w:r>
      <w:r w:rsidR="004E4952">
        <w:rPr>
          <w:sz w:val="24"/>
          <w:szCs w:val="24"/>
        </w:rPr>
        <w:t xml:space="preserve"> </w:t>
      </w:r>
      <w:r w:rsidR="00FF669C">
        <w:rPr>
          <w:sz w:val="24"/>
          <w:szCs w:val="24"/>
        </w:rPr>
        <w:t>C. Holmes</w:t>
      </w:r>
      <w:r w:rsidR="00FF669C">
        <w:rPr>
          <w:sz w:val="24"/>
          <w:szCs w:val="24"/>
        </w:rPr>
        <w:tab/>
      </w:r>
      <w:r w:rsidR="00CD3F0E">
        <w:rPr>
          <w:sz w:val="24"/>
          <w:szCs w:val="24"/>
        </w:rPr>
        <w:tab/>
      </w:r>
      <w:r w:rsidR="00CD3F0E">
        <w:rPr>
          <w:sz w:val="24"/>
          <w:szCs w:val="24"/>
        </w:rPr>
        <w:tab/>
      </w:r>
      <w:r w:rsidR="0092169C">
        <w:rPr>
          <w:sz w:val="24"/>
          <w:szCs w:val="24"/>
        </w:rPr>
        <w:t xml:space="preserve">6-4: </w:t>
      </w:r>
      <w:r w:rsidR="00FF669C">
        <w:rPr>
          <w:sz w:val="24"/>
          <w:szCs w:val="24"/>
        </w:rPr>
        <w:t>L. Graham</w:t>
      </w:r>
      <w:r w:rsidR="00FF669C">
        <w:rPr>
          <w:sz w:val="24"/>
          <w:szCs w:val="24"/>
        </w:rPr>
        <w:tab/>
      </w:r>
      <w:r w:rsidR="001325E6">
        <w:rPr>
          <w:sz w:val="24"/>
          <w:szCs w:val="24"/>
        </w:rPr>
        <w:tab/>
      </w:r>
      <w:r w:rsidR="001A3E19">
        <w:rPr>
          <w:sz w:val="24"/>
          <w:szCs w:val="24"/>
        </w:rPr>
        <w:tab/>
        <w:t xml:space="preserve">7-4: </w:t>
      </w:r>
      <w:r w:rsidR="00FF669C">
        <w:rPr>
          <w:sz w:val="24"/>
          <w:szCs w:val="24"/>
        </w:rPr>
        <w:t>T. Mattson</w:t>
      </w:r>
      <w:r w:rsidR="0092169C">
        <w:rPr>
          <w:sz w:val="24"/>
          <w:szCs w:val="24"/>
        </w:rPr>
        <w:tab/>
      </w:r>
    </w:p>
    <w:p w:rsidR="00E01100" w:rsidRDefault="00E01100" w:rsidP="008E596F">
      <w:pPr>
        <w:spacing w:line="240" w:lineRule="auto"/>
        <w:rPr>
          <w:sz w:val="24"/>
          <w:szCs w:val="24"/>
        </w:rPr>
      </w:pPr>
      <w:r>
        <w:rPr>
          <w:sz w:val="24"/>
          <w:szCs w:val="24"/>
        </w:rPr>
        <w:t>SPED:</w:t>
      </w:r>
      <w:r w:rsidR="0092169C">
        <w:rPr>
          <w:sz w:val="24"/>
          <w:szCs w:val="24"/>
        </w:rPr>
        <w:t xml:space="preserve"> </w:t>
      </w:r>
      <w:r w:rsidR="00957ADA">
        <w:rPr>
          <w:sz w:val="24"/>
          <w:szCs w:val="24"/>
        </w:rPr>
        <w:t xml:space="preserve">Absent </w:t>
      </w:r>
      <w:r w:rsidR="00957ADA">
        <w:rPr>
          <w:sz w:val="24"/>
          <w:szCs w:val="24"/>
        </w:rPr>
        <w:tab/>
      </w:r>
      <w:r w:rsidR="00AD7DD9">
        <w:rPr>
          <w:sz w:val="24"/>
          <w:szCs w:val="24"/>
        </w:rPr>
        <w:tab/>
      </w:r>
      <w:r w:rsidR="001325E6">
        <w:rPr>
          <w:sz w:val="24"/>
          <w:szCs w:val="24"/>
        </w:rPr>
        <w:tab/>
      </w:r>
      <w:r>
        <w:rPr>
          <w:sz w:val="24"/>
          <w:szCs w:val="24"/>
        </w:rPr>
        <w:t>PE:</w:t>
      </w:r>
      <w:r w:rsidR="0092169C">
        <w:rPr>
          <w:sz w:val="24"/>
          <w:szCs w:val="24"/>
        </w:rPr>
        <w:t xml:space="preserve"> </w:t>
      </w:r>
      <w:r w:rsidR="00FF669C">
        <w:rPr>
          <w:sz w:val="24"/>
          <w:szCs w:val="24"/>
        </w:rPr>
        <w:t>M. Smith</w:t>
      </w:r>
      <w:r w:rsidR="001A3E19">
        <w:rPr>
          <w:sz w:val="24"/>
          <w:szCs w:val="24"/>
        </w:rPr>
        <w:tab/>
      </w:r>
      <w:r w:rsidR="0092169C">
        <w:rPr>
          <w:sz w:val="24"/>
          <w:szCs w:val="24"/>
        </w:rPr>
        <w:tab/>
      </w:r>
      <w:r w:rsidR="0092169C">
        <w:rPr>
          <w:sz w:val="24"/>
          <w:szCs w:val="24"/>
        </w:rPr>
        <w:tab/>
      </w:r>
      <w:r w:rsidR="00CD3F0E">
        <w:rPr>
          <w:sz w:val="24"/>
          <w:szCs w:val="24"/>
        </w:rPr>
        <w:t>Arts</w:t>
      </w:r>
      <w:r>
        <w:rPr>
          <w:sz w:val="24"/>
          <w:szCs w:val="24"/>
        </w:rPr>
        <w:t>:</w:t>
      </w:r>
      <w:r w:rsidR="0092169C">
        <w:rPr>
          <w:sz w:val="24"/>
          <w:szCs w:val="24"/>
        </w:rPr>
        <w:t xml:space="preserve"> </w:t>
      </w:r>
      <w:r w:rsidR="00CD3F0E">
        <w:rPr>
          <w:sz w:val="24"/>
          <w:szCs w:val="24"/>
        </w:rPr>
        <w:t>M. Arnstein</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S. </w:t>
      </w:r>
      <w:r w:rsidR="0092169C">
        <w:rPr>
          <w:sz w:val="24"/>
          <w:szCs w:val="24"/>
        </w:rPr>
        <w:t>Ellis</w:t>
      </w:r>
      <w:r w:rsidR="001A3E19">
        <w:rPr>
          <w:sz w:val="24"/>
          <w:szCs w:val="24"/>
        </w:rPr>
        <w:t>, S. Spruill</w:t>
      </w:r>
      <w:r w:rsidR="00CD3F0E">
        <w:rPr>
          <w:sz w:val="24"/>
          <w:szCs w:val="24"/>
        </w:rPr>
        <w:t>, N. Davis</w:t>
      </w:r>
    </w:p>
    <w:p w:rsidR="0092169C" w:rsidRDefault="0092169C" w:rsidP="008E596F">
      <w:pPr>
        <w:spacing w:line="240" w:lineRule="auto"/>
        <w:rPr>
          <w:sz w:val="24"/>
          <w:szCs w:val="24"/>
        </w:rPr>
      </w:pPr>
      <w:r>
        <w:rPr>
          <w:sz w:val="24"/>
          <w:szCs w:val="24"/>
        </w:rPr>
        <w:t xml:space="preserve">IRT: </w:t>
      </w:r>
      <w:r w:rsidR="00FF669C">
        <w:rPr>
          <w:sz w:val="24"/>
          <w:szCs w:val="24"/>
        </w:rPr>
        <w:t xml:space="preserve">J. </w:t>
      </w:r>
      <w:proofErr w:type="spellStart"/>
      <w:r w:rsidR="00FF669C">
        <w:rPr>
          <w:sz w:val="24"/>
          <w:szCs w:val="24"/>
        </w:rPr>
        <w:t>Ethridge</w:t>
      </w:r>
      <w:proofErr w:type="spellEnd"/>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AD103A">
        <w:rPr>
          <w:sz w:val="24"/>
          <w:szCs w:val="24"/>
        </w:rPr>
        <w:t>D. Harris</w:t>
      </w:r>
    </w:p>
    <w:p w:rsidR="00FF669C" w:rsidRPr="002F624B" w:rsidRDefault="0040338C" w:rsidP="00766095">
      <w:pPr>
        <w:spacing w:line="240" w:lineRule="auto"/>
        <w:rPr>
          <w:sz w:val="24"/>
          <w:szCs w:val="24"/>
        </w:rPr>
      </w:pPr>
      <w:r>
        <w:rPr>
          <w:sz w:val="24"/>
          <w:szCs w:val="24"/>
        </w:rPr>
        <w:t>Parent Reps:</w:t>
      </w:r>
      <w:r w:rsidR="00FF669C">
        <w:rPr>
          <w:sz w:val="24"/>
          <w:szCs w:val="24"/>
        </w:rPr>
        <w:t xml:space="preserve">  </w:t>
      </w:r>
      <w:r w:rsidR="00957ADA">
        <w:rPr>
          <w:sz w:val="24"/>
          <w:szCs w:val="24"/>
        </w:rPr>
        <w:t>Absent (tracked out)</w:t>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55D82" w:rsidTr="001307C0">
        <w:tc>
          <w:tcPr>
            <w:tcW w:w="3294" w:type="dxa"/>
          </w:tcPr>
          <w:p w:rsidR="00755D82" w:rsidRPr="00981BFE" w:rsidRDefault="00755D82" w:rsidP="00755D82">
            <w:pPr>
              <w:tabs>
                <w:tab w:val="left" w:pos="2910"/>
              </w:tabs>
            </w:pPr>
            <w:r w:rsidRPr="00981BFE">
              <w:t>Set-up</w:t>
            </w:r>
          </w:p>
          <w:p w:rsidR="00755D82" w:rsidRPr="00981BFE" w:rsidRDefault="00755D82" w:rsidP="00755D82">
            <w:pPr>
              <w:pStyle w:val="ListParagraph"/>
              <w:numPr>
                <w:ilvl w:val="0"/>
                <w:numId w:val="6"/>
              </w:numPr>
              <w:tabs>
                <w:tab w:val="left" w:pos="2910"/>
              </w:tabs>
            </w:pPr>
            <w:r w:rsidRPr="00981BFE">
              <w:t>Norms/Roles</w:t>
            </w:r>
          </w:p>
          <w:p w:rsidR="00755D82" w:rsidRPr="00981BFE" w:rsidRDefault="00755D82" w:rsidP="00755D82">
            <w:pPr>
              <w:pStyle w:val="ListParagraph"/>
              <w:numPr>
                <w:ilvl w:val="0"/>
                <w:numId w:val="6"/>
              </w:numPr>
              <w:tabs>
                <w:tab w:val="left" w:pos="2910"/>
              </w:tabs>
            </w:pPr>
            <w:r w:rsidRPr="00981BFE">
              <w:t>Desired Outcomes</w:t>
            </w:r>
          </w:p>
          <w:p w:rsidR="00755D82" w:rsidRPr="00981BFE" w:rsidRDefault="00755D82" w:rsidP="00755D82">
            <w:pPr>
              <w:pStyle w:val="ListParagraph"/>
              <w:numPr>
                <w:ilvl w:val="0"/>
                <w:numId w:val="6"/>
              </w:numPr>
              <w:tabs>
                <w:tab w:val="left" w:pos="2910"/>
              </w:tabs>
            </w:pPr>
            <w:r w:rsidRPr="00981BFE">
              <w:t>Agenda</w:t>
            </w:r>
          </w:p>
        </w:tc>
        <w:tc>
          <w:tcPr>
            <w:tcW w:w="2120" w:type="dxa"/>
          </w:tcPr>
          <w:p w:rsidR="00755D82" w:rsidRPr="00981BFE" w:rsidRDefault="00755D82" w:rsidP="00755D82">
            <w:pPr>
              <w:tabs>
                <w:tab w:val="left" w:pos="2910"/>
              </w:tabs>
            </w:pPr>
            <w:r w:rsidRPr="00981BFE">
              <w:t xml:space="preserve">L. </w:t>
            </w:r>
            <w:proofErr w:type="spellStart"/>
            <w:r w:rsidRPr="00981BFE">
              <w:t>Haynie</w:t>
            </w:r>
            <w:proofErr w:type="spellEnd"/>
          </w:p>
        </w:tc>
        <w:tc>
          <w:tcPr>
            <w:tcW w:w="3510" w:type="dxa"/>
          </w:tcPr>
          <w:p w:rsidR="00755D82" w:rsidRPr="00981BFE" w:rsidRDefault="00755D82" w:rsidP="00755D82">
            <w:pPr>
              <w:pStyle w:val="ListParagraph"/>
              <w:numPr>
                <w:ilvl w:val="0"/>
                <w:numId w:val="6"/>
              </w:numPr>
              <w:tabs>
                <w:tab w:val="left" w:pos="2910"/>
              </w:tabs>
            </w:pPr>
            <w:r w:rsidRPr="00981BFE">
              <w:t>Present</w:t>
            </w:r>
          </w:p>
          <w:p w:rsidR="00755D82" w:rsidRPr="00981BFE" w:rsidRDefault="00755D82" w:rsidP="00755D82">
            <w:pPr>
              <w:pStyle w:val="ListParagraph"/>
              <w:numPr>
                <w:ilvl w:val="0"/>
                <w:numId w:val="6"/>
              </w:numPr>
              <w:tabs>
                <w:tab w:val="left" w:pos="2910"/>
              </w:tabs>
            </w:pPr>
            <w:r w:rsidRPr="00981BFE">
              <w:t>Clarify</w:t>
            </w:r>
          </w:p>
          <w:p w:rsidR="00755D82" w:rsidRPr="00981BFE" w:rsidRDefault="00755D82" w:rsidP="00755D82">
            <w:pPr>
              <w:pStyle w:val="ListParagraph"/>
              <w:numPr>
                <w:ilvl w:val="0"/>
                <w:numId w:val="6"/>
              </w:numPr>
              <w:tabs>
                <w:tab w:val="left" w:pos="2910"/>
              </w:tabs>
            </w:pPr>
            <w:r w:rsidRPr="00981BFE">
              <w:t>Check for agreement</w:t>
            </w:r>
          </w:p>
        </w:tc>
        <w:tc>
          <w:tcPr>
            <w:tcW w:w="1866" w:type="dxa"/>
          </w:tcPr>
          <w:p w:rsidR="00755D82" w:rsidRPr="00981BFE" w:rsidRDefault="00755D82" w:rsidP="00755D82">
            <w:pPr>
              <w:tabs>
                <w:tab w:val="left" w:pos="2910"/>
              </w:tabs>
            </w:pPr>
            <w:r w:rsidRPr="00981BFE">
              <w:t>2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E3309C" w:rsidTr="004E4952">
        <w:tc>
          <w:tcPr>
            <w:tcW w:w="3294" w:type="dxa"/>
          </w:tcPr>
          <w:p w:rsidR="00E3309C" w:rsidRPr="009477C7" w:rsidRDefault="00E3309C" w:rsidP="00E3309C">
            <w:pPr>
              <w:tabs>
                <w:tab w:val="left" w:pos="2910"/>
              </w:tabs>
            </w:pPr>
            <w:r w:rsidRPr="009477C7">
              <w:t>Finish Future Protocol of Walkthrough Instruments</w:t>
            </w:r>
          </w:p>
        </w:tc>
        <w:tc>
          <w:tcPr>
            <w:tcW w:w="2120" w:type="dxa"/>
          </w:tcPr>
          <w:p w:rsidR="00E3309C" w:rsidRPr="009477C7" w:rsidRDefault="00E3309C" w:rsidP="00E3309C">
            <w:pPr>
              <w:tabs>
                <w:tab w:val="left" w:pos="2910"/>
              </w:tabs>
            </w:pPr>
            <w:r w:rsidRPr="009477C7">
              <w:t xml:space="preserve">L. </w:t>
            </w:r>
            <w:proofErr w:type="spellStart"/>
            <w:r w:rsidRPr="009477C7">
              <w:t>Haynie</w:t>
            </w:r>
            <w:proofErr w:type="spellEnd"/>
          </w:p>
        </w:tc>
        <w:tc>
          <w:tcPr>
            <w:tcW w:w="3510" w:type="dxa"/>
          </w:tcPr>
          <w:p w:rsidR="00E3309C" w:rsidRPr="009477C7" w:rsidRDefault="00E3309C" w:rsidP="00E3309C">
            <w:pPr>
              <w:pStyle w:val="ListParagraph"/>
              <w:numPr>
                <w:ilvl w:val="0"/>
                <w:numId w:val="18"/>
              </w:numPr>
              <w:tabs>
                <w:tab w:val="left" w:pos="2910"/>
              </w:tabs>
            </w:pPr>
            <w:r w:rsidRPr="009477C7">
              <w:t>Small groups</w:t>
            </w:r>
          </w:p>
          <w:p w:rsidR="00E3309C" w:rsidRPr="009477C7" w:rsidRDefault="00E3309C" w:rsidP="00E3309C">
            <w:pPr>
              <w:pStyle w:val="ListParagraph"/>
              <w:numPr>
                <w:ilvl w:val="0"/>
                <w:numId w:val="6"/>
              </w:numPr>
              <w:tabs>
                <w:tab w:val="left" w:pos="2910"/>
              </w:tabs>
            </w:pPr>
            <w:r w:rsidRPr="009477C7">
              <w:t>Finish conversations about what walkthroughs would look like at ECMS by 2018.</w:t>
            </w:r>
          </w:p>
          <w:p w:rsidR="00E3309C" w:rsidRPr="009477C7" w:rsidRDefault="00E3309C" w:rsidP="00E3309C">
            <w:pPr>
              <w:pStyle w:val="ListParagraph"/>
              <w:numPr>
                <w:ilvl w:val="0"/>
                <w:numId w:val="6"/>
              </w:numPr>
              <w:tabs>
                <w:tab w:val="left" w:pos="2910"/>
              </w:tabs>
            </w:pPr>
            <w:r w:rsidRPr="009477C7">
              <w:t>Share Out</w:t>
            </w:r>
          </w:p>
        </w:tc>
        <w:tc>
          <w:tcPr>
            <w:tcW w:w="1866" w:type="dxa"/>
          </w:tcPr>
          <w:p w:rsidR="00E3309C" w:rsidRPr="009477C7" w:rsidRDefault="00E3309C" w:rsidP="00E3309C">
            <w:pPr>
              <w:tabs>
                <w:tab w:val="left" w:pos="2910"/>
              </w:tabs>
            </w:pPr>
            <w:r w:rsidRPr="009477C7">
              <w:t>10 minutes</w:t>
            </w:r>
          </w:p>
        </w:tc>
      </w:tr>
      <w:tr w:rsidR="00E3309C" w:rsidTr="00AC66F9">
        <w:tc>
          <w:tcPr>
            <w:tcW w:w="10790" w:type="dxa"/>
            <w:gridSpan w:val="4"/>
          </w:tcPr>
          <w:p w:rsidR="00E3309C" w:rsidRDefault="00E3309C" w:rsidP="00E3309C">
            <w:pPr>
              <w:pStyle w:val="NoSpacing"/>
              <w:rPr>
                <w:rFonts w:eastAsiaTheme="minorHAnsi" w:cs="Arial"/>
              </w:rPr>
            </w:pPr>
          </w:p>
          <w:p w:rsidR="00E3309C" w:rsidRDefault="00E3309C" w:rsidP="00E3309C">
            <w:pPr>
              <w:pStyle w:val="NoSpacing"/>
              <w:rPr>
                <w:rFonts w:eastAsiaTheme="minorHAnsi" w:cs="Arial"/>
              </w:rPr>
            </w:pPr>
            <w:r>
              <w:rPr>
                <w:rFonts w:eastAsiaTheme="minorHAnsi" w:cs="Arial"/>
              </w:rPr>
              <w:t>Small groups reviewed and finished up their conversations started at the last meeting about what walkthroughs at ECMS should look like by 2018.  Thoughts from small groups were shared out with the large group.</w:t>
            </w:r>
          </w:p>
          <w:p w:rsidR="00E3309C" w:rsidRPr="00AD05C2" w:rsidRDefault="00E3309C" w:rsidP="00E3309C">
            <w:pPr>
              <w:pStyle w:val="NoSpacing"/>
            </w:pPr>
          </w:p>
        </w:tc>
      </w:tr>
      <w:tr w:rsidR="00E3309C" w:rsidTr="001307C0">
        <w:tc>
          <w:tcPr>
            <w:tcW w:w="3294" w:type="dxa"/>
          </w:tcPr>
          <w:p w:rsidR="00E3309C" w:rsidRPr="009477C7" w:rsidRDefault="00E3309C" w:rsidP="00E3309C">
            <w:pPr>
              <w:tabs>
                <w:tab w:val="left" w:pos="2910"/>
              </w:tabs>
            </w:pPr>
            <w:r w:rsidRPr="009477C7">
              <w:t>Non-Negotiables and the Three Focus Categories</w:t>
            </w:r>
          </w:p>
          <w:p w:rsidR="00E3309C" w:rsidRPr="009477C7" w:rsidRDefault="00E3309C" w:rsidP="00E3309C">
            <w:pPr>
              <w:tabs>
                <w:tab w:val="left" w:pos="2910"/>
              </w:tabs>
            </w:pPr>
          </w:p>
        </w:tc>
        <w:tc>
          <w:tcPr>
            <w:tcW w:w="2120" w:type="dxa"/>
          </w:tcPr>
          <w:p w:rsidR="00E3309C" w:rsidRPr="009477C7" w:rsidRDefault="00E3309C" w:rsidP="00E3309C">
            <w:pPr>
              <w:tabs>
                <w:tab w:val="left" w:pos="2910"/>
              </w:tabs>
            </w:pPr>
            <w:r w:rsidRPr="009477C7">
              <w:t>N. Davis</w:t>
            </w:r>
          </w:p>
        </w:tc>
        <w:tc>
          <w:tcPr>
            <w:tcW w:w="3510" w:type="dxa"/>
          </w:tcPr>
          <w:p w:rsidR="00E3309C" w:rsidRPr="009477C7" w:rsidRDefault="00E3309C" w:rsidP="00E3309C">
            <w:pPr>
              <w:pStyle w:val="ListParagraph"/>
              <w:numPr>
                <w:ilvl w:val="0"/>
                <w:numId w:val="18"/>
              </w:numPr>
              <w:tabs>
                <w:tab w:val="left" w:pos="2910"/>
              </w:tabs>
            </w:pPr>
            <w:r w:rsidRPr="009477C7">
              <w:rPr>
                <w:color w:val="000000" w:themeColor="text1"/>
              </w:rPr>
              <w:t>Davis to present non-negotiables (things to be seen in every classroom no matter the time visited).</w:t>
            </w:r>
          </w:p>
          <w:p w:rsidR="00E3309C" w:rsidRPr="009477C7" w:rsidRDefault="00E3309C" w:rsidP="00E3309C">
            <w:pPr>
              <w:pStyle w:val="ListParagraph"/>
              <w:numPr>
                <w:ilvl w:val="0"/>
                <w:numId w:val="18"/>
              </w:numPr>
              <w:tabs>
                <w:tab w:val="left" w:pos="2910"/>
              </w:tabs>
            </w:pPr>
            <w:r w:rsidRPr="009477C7">
              <w:rPr>
                <w:color w:val="000000" w:themeColor="text1"/>
              </w:rPr>
              <w:t>Discussion of the Three Focus Categories of a walkthrough.</w:t>
            </w:r>
          </w:p>
          <w:p w:rsidR="00E3309C" w:rsidRPr="009477C7" w:rsidRDefault="00E3309C" w:rsidP="00E3309C">
            <w:pPr>
              <w:pStyle w:val="ListParagraph"/>
              <w:numPr>
                <w:ilvl w:val="0"/>
                <w:numId w:val="18"/>
              </w:numPr>
              <w:tabs>
                <w:tab w:val="left" w:pos="2910"/>
              </w:tabs>
            </w:pPr>
            <w:r w:rsidRPr="009477C7">
              <w:rPr>
                <w:color w:val="000000" w:themeColor="text1"/>
              </w:rPr>
              <w:t>Sorting activity of the non-negotiables.</w:t>
            </w:r>
          </w:p>
          <w:p w:rsidR="00E3309C" w:rsidRPr="009477C7" w:rsidRDefault="00E3309C" w:rsidP="00E3309C">
            <w:pPr>
              <w:pStyle w:val="ListParagraph"/>
              <w:numPr>
                <w:ilvl w:val="0"/>
                <w:numId w:val="18"/>
              </w:numPr>
              <w:tabs>
                <w:tab w:val="left" w:pos="2910"/>
              </w:tabs>
            </w:pPr>
            <w:r w:rsidRPr="009477C7">
              <w:lastRenderedPageBreak/>
              <w:t>Share Out</w:t>
            </w:r>
          </w:p>
        </w:tc>
        <w:tc>
          <w:tcPr>
            <w:tcW w:w="1866" w:type="dxa"/>
          </w:tcPr>
          <w:p w:rsidR="00E3309C" w:rsidRPr="009477C7" w:rsidRDefault="00E3309C" w:rsidP="00E3309C">
            <w:pPr>
              <w:tabs>
                <w:tab w:val="left" w:pos="2910"/>
              </w:tabs>
            </w:pPr>
            <w:r w:rsidRPr="009477C7">
              <w:lastRenderedPageBreak/>
              <w:t>15 minutes</w:t>
            </w:r>
          </w:p>
        </w:tc>
      </w:tr>
      <w:tr w:rsidR="00E3309C" w:rsidTr="00200791">
        <w:tc>
          <w:tcPr>
            <w:tcW w:w="10790" w:type="dxa"/>
            <w:gridSpan w:val="4"/>
          </w:tcPr>
          <w:p w:rsidR="00E3309C" w:rsidRDefault="00E3309C" w:rsidP="00E3309C">
            <w:pPr>
              <w:shd w:val="clear" w:color="auto" w:fill="FFFFFF"/>
              <w:rPr>
                <w:rFonts w:eastAsia="Times New Roman" w:cs="Times New Roman"/>
                <w:color w:val="000000"/>
              </w:rPr>
            </w:pPr>
          </w:p>
          <w:p w:rsidR="00E3309C" w:rsidRDefault="00E3309C" w:rsidP="00E3309C">
            <w:pPr>
              <w:tabs>
                <w:tab w:val="left" w:pos="2910"/>
              </w:tabs>
              <w:rPr>
                <w:rFonts w:eastAsia="Times New Roman" w:cs="Times New Roman"/>
                <w:color w:val="000000"/>
              </w:rPr>
            </w:pPr>
            <w:r>
              <w:rPr>
                <w:rFonts w:eastAsia="Times New Roman" w:cs="Times New Roman"/>
                <w:color w:val="000000"/>
              </w:rPr>
              <w:t>Ms. Davis reviewed the “non-negotiables” that should be seen in every classroom no matter the content area or the time visited.  These “non-negotiables” include:</w:t>
            </w:r>
          </w:p>
          <w:p w:rsidR="00E3309C" w:rsidRDefault="00E3309C" w:rsidP="00E3309C">
            <w:pPr>
              <w:pStyle w:val="ListParagraph"/>
              <w:numPr>
                <w:ilvl w:val="0"/>
                <w:numId w:val="26"/>
              </w:numPr>
              <w:tabs>
                <w:tab w:val="left" w:pos="2910"/>
              </w:tabs>
            </w:pPr>
            <w:r>
              <w:t>Essential Questions posted in kid-friendly terms; students should know why they are learning and completing activities/assignments.</w:t>
            </w:r>
          </w:p>
          <w:p w:rsidR="00E3309C" w:rsidRDefault="00E3309C" w:rsidP="00E3309C">
            <w:pPr>
              <w:pStyle w:val="ListParagraph"/>
              <w:numPr>
                <w:ilvl w:val="0"/>
                <w:numId w:val="26"/>
              </w:numPr>
              <w:tabs>
                <w:tab w:val="left" w:pos="2910"/>
              </w:tabs>
            </w:pPr>
            <w:r>
              <w:t>Level of student engagement (active vs. passive)</w:t>
            </w:r>
          </w:p>
          <w:p w:rsidR="00E3309C" w:rsidRDefault="00E3309C" w:rsidP="00E3309C">
            <w:pPr>
              <w:pStyle w:val="ListParagraph"/>
              <w:numPr>
                <w:ilvl w:val="0"/>
                <w:numId w:val="26"/>
              </w:numPr>
              <w:tabs>
                <w:tab w:val="left" w:pos="2910"/>
              </w:tabs>
            </w:pPr>
            <w:r>
              <w:t>Culture of collaboration</w:t>
            </w:r>
          </w:p>
          <w:p w:rsidR="00E3309C" w:rsidRDefault="00E3309C" w:rsidP="00E3309C">
            <w:pPr>
              <w:pStyle w:val="ListParagraph"/>
              <w:numPr>
                <w:ilvl w:val="0"/>
                <w:numId w:val="26"/>
              </w:numPr>
              <w:tabs>
                <w:tab w:val="left" w:pos="2910"/>
              </w:tabs>
            </w:pPr>
            <w:r>
              <w:t>Level of Questions based on Revised Bloom’s Taxonomy</w:t>
            </w:r>
          </w:p>
          <w:p w:rsidR="00E3309C" w:rsidRDefault="00E3309C" w:rsidP="00E3309C">
            <w:pPr>
              <w:pStyle w:val="ListParagraph"/>
              <w:numPr>
                <w:ilvl w:val="0"/>
                <w:numId w:val="26"/>
              </w:numPr>
              <w:tabs>
                <w:tab w:val="left" w:pos="2910"/>
              </w:tabs>
            </w:pPr>
            <w:r>
              <w:t>Teacher movement</w:t>
            </w:r>
          </w:p>
          <w:p w:rsidR="00E3309C" w:rsidRDefault="00E3309C" w:rsidP="00E3309C">
            <w:pPr>
              <w:pStyle w:val="ListParagraph"/>
              <w:numPr>
                <w:ilvl w:val="0"/>
                <w:numId w:val="26"/>
              </w:numPr>
              <w:tabs>
                <w:tab w:val="left" w:pos="2910"/>
              </w:tabs>
            </w:pPr>
            <w:r>
              <w:t>Technology integration</w:t>
            </w:r>
          </w:p>
          <w:p w:rsidR="00E3309C" w:rsidRDefault="00E3309C" w:rsidP="00E3309C">
            <w:pPr>
              <w:pStyle w:val="ListParagraph"/>
              <w:numPr>
                <w:ilvl w:val="0"/>
                <w:numId w:val="26"/>
              </w:numPr>
              <w:tabs>
                <w:tab w:val="left" w:pos="2910"/>
              </w:tabs>
            </w:pPr>
            <w:r>
              <w:t>Evidence of the 4C’s</w:t>
            </w:r>
          </w:p>
          <w:p w:rsidR="00E3309C" w:rsidRDefault="00E3309C" w:rsidP="00E3309C">
            <w:pPr>
              <w:tabs>
                <w:tab w:val="left" w:pos="2910"/>
              </w:tabs>
            </w:pPr>
            <w:r>
              <w:t>These will be added to our classroom walkthrough instrument in some form or fashion.</w:t>
            </w:r>
          </w:p>
          <w:p w:rsidR="00E3309C" w:rsidRDefault="00E3309C" w:rsidP="00E3309C">
            <w:pPr>
              <w:tabs>
                <w:tab w:val="left" w:pos="2910"/>
              </w:tabs>
            </w:pPr>
          </w:p>
          <w:p w:rsidR="00E3309C" w:rsidRDefault="00E3309C" w:rsidP="00E3309C">
            <w:pPr>
              <w:tabs>
                <w:tab w:val="left" w:pos="2910"/>
              </w:tabs>
            </w:pPr>
            <w:r>
              <w:t>Ms. Davis also talked about how a walkthrough instrument is based on three areas of focus: 1) Focus on Learners &amp; Relevance, 2) Focus on Instruction &amp; Rigor, and 3) Focus on Environment and Culture.</w:t>
            </w:r>
            <w:r w:rsidR="00E62E48">
              <w:t xml:space="preserve">  These three areas of focus can be seen on the sample walkthrough given to SIT members in the next portion of the agenda.</w:t>
            </w:r>
          </w:p>
          <w:p w:rsidR="00E62E48" w:rsidRDefault="00E62E48" w:rsidP="00E3309C">
            <w:pPr>
              <w:tabs>
                <w:tab w:val="left" w:pos="2910"/>
              </w:tabs>
            </w:pPr>
          </w:p>
          <w:p w:rsidR="00E62E48" w:rsidRDefault="00E62E48" w:rsidP="00E3309C">
            <w:pPr>
              <w:tabs>
                <w:tab w:val="left" w:pos="2910"/>
              </w:tabs>
            </w:pPr>
            <w:r>
              <w:t>Sorting Activity was skipped based on time.  SIT moved on to the next agenda item.</w:t>
            </w:r>
          </w:p>
          <w:p w:rsidR="00E3309C" w:rsidRPr="00981BFE" w:rsidRDefault="00E3309C" w:rsidP="00E3309C">
            <w:pPr>
              <w:tabs>
                <w:tab w:val="left" w:pos="2910"/>
              </w:tabs>
            </w:pPr>
          </w:p>
        </w:tc>
      </w:tr>
      <w:tr w:rsidR="00AD2AA5" w:rsidTr="001307C0">
        <w:tc>
          <w:tcPr>
            <w:tcW w:w="3294" w:type="dxa"/>
          </w:tcPr>
          <w:p w:rsidR="00AD2AA5" w:rsidRPr="009477C7" w:rsidRDefault="00AD2AA5" w:rsidP="00AD2AA5">
            <w:pPr>
              <w:tabs>
                <w:tab w:val="left" w:pos="2910"/>
              </w:tabs>
            </w:pPr>
            <w:r w:rsidRPr="009477C7">
              <w:t>Feedback on a Sample Walkthrough Instrument</w:t>
            </w:r>
          </w:p>
        </w:tc>
        <w:tc>
          <w:tcPr>
            <w:tcW w:w="2120" w:type="dxa"/>
          </w:tcPr>
          <w:p w:rsidR="00AD2AA5" w:rsidRPr="009477C7" w:rsidRDefault="00AD2AA5" w:rsidP="00AD2AA5">
            <w:pPr>
              <w:tabs>
                <w:tab w:val="left" w:pos="2910"/>
              </w:tabs>
            </w:pPr>
            <w:r w:rsidRPr="009477C7">
              <w:t xml:space="preserve">N. Davis/L. </w:t>
            </w:r>
            <w:proofErr w:type="spellStart"/>
            <w:r w:rsidRPr="009477C7">
              <w:t>Haynie</w:t>
            </w:r>
            <w:proofErr w:type="spellEnd"/>
          </w:p>
        </w:tc>
        <w:tc>
          <w:tcPr>
            <w:tcW w:w="3510" w:type="dxa"/>
          </w:tcPr>
          <w:p w:rsidR="00AD2AA5" w:rsidRPr="009477C7" w:rsidRDefault="00AD2AA5" w:rsidP="00AD2AA5">
            <w:pPr>
              <w:pStyle w:val="ListParagraph"/>
              <w:numPr>
                <w:ilvl w:val="0"/>
                <w:numId w:val="18"/>
              </w:numPr>
              <w:tabs>
                <w:tab w:val="left" w:pos="2910"/>
              </w:tabs>
            </w:pPr>
            <w:r w:rsidRPr="009477C7">
              <w:t>Small groups</w:t>
            </w:r>
          </w:p>
          <w:p w:rsidR="00AD2AA5" w:rsidRPr="009477C7" w:rsidRDefault="00AD2AA5" w:rsidP="00AD2AA5">
            <w:pPr>
              <w:pStyle w:val="ListParagraph"/>
              <w:numPr>
                <w:ilvl w:val="0"/>
                <w:numId w:val="18"/>
              </w:numPr>
              <w:tabs>
                <w:tab w:val="left" w:pos="2910"/>
              </w:tabs>
            </w:pPr>
            <w:r w:rsidRPr="009477C7">
              <w:t>See projector screen for directions.</w:t>
            </w:r>
          </w:p>
          <w:p w:rsidR="00AD2AA5" w:rsidRPr="009477C7" w:rsidRDefault="00AD2AA5" w:rsidP="00AD2AA5">
            <w:pPr>
              <w:pStyle w:val="ListParagraph"/>
              <w:numPr>
                <w:ilvl w:val="0"/>
                <w:numId w:val="18"/>
              </w:numPr>
              <w:tabs>
                <w:tab w:val="left" w:pos="2910"/>
              </w:tabs>
            </w:pPr>
            <w:r w:rsidRPr="009477C7">
              <w:t xml:space="preserve">One walkthrough paper from each group will be submitted to </w:t>
            </w:r>
            <w:proofErr w:type="spellStart"/>
            <w:r w:rsidRPr="009477C7">
              <w:t>Haynie</w:t>
            </w:r>
            <w:proofErr w:type="spellEnd"/>
            <w:r w:rsidRPr="009477C7">
              <w:t xml:space="preserve"> as feedback.</w:t>
            </w:r>
          </w:p>
          <w:p w:rsidR="00AD2AA5" w:rsidRPr="009477C7" w:rsidRDefault="00AD2AA5" w:rsidP="00AD2AA5">
            <w:pPr>
              <w:pStyle w:val="ListParagraph"/>
              <w:numPr>
                <w:ilvl w:val="0"/>
                <w:numId w:val="18"/>
              </w:numPr>
              <w:tabs>
                <w:tab w:val="left" w:pos="2910"/>
              </w:tabs>
            </w:pPr>
            <w:r w:rsidRPr="009477C7">
              <w:t>Share Out (if time allows)</w:t>
            </w:r>
          </w:p>
        </w:tc>
        <w:tc>
          <w:tcPr>
            <w:tcW w:w="1866" w:type="dxa"/>
          </w:tcPr>
          <w:p w:rsidR="00AD2AA5" w:rsidRPr="009477C7" w:rsidRDefault="00AD2AA5" w:rsidP="00AD2AA5">
            <w:pPr>
              <w:tabs>
                <w:tab w:val="left" w:pos="2910"/>
              </w:tabs>
            </w:pPr>
            <w:r w:rsidRPr="009477C7">
              <w:t>30 minutes</w:t>
            </w:r>
          </w:p>
        </w:tc>
      </w:tr>
      <w:tr w:rsidR="00AD2AA5" w:rsidTr="00574BA4">
        <w:tc>
          <w:tcPr>
            <w:tcW w:w="10790" w:type="dxa"/>
            <w:gridSpan w:val="4"/>
          </w:tcPr>
          <w:p w:rsidR="00AD2AA5" w:rsidRDefault="00AD2AA5" w:rsidP="00AD2AA5">
            <w:pPr>
              <w:tabs>
                <w:tab w:val="left" w:pos="2910"/>
              </w:tabs>
            </w:pPr>
          </w:p>
          <w:p w:rsidR="00AD2AA5" w:rsidRDefault="00071C80" w:rsidP="00AD2AA5">
            <w:pPr>
              <w:tabs>
                <w:tab w:val="left" w:pos="2910"/>
              </w:tabs>
            </w:pPr>
            <w:r>
              <w:t>SIT members worked in three groups to provide feedback on the sample walkthrough given.  One group provided feedback on the Learner &amp; Relevance section, one group gave feedback on the Instruction &amp; Rigor section, and the last group gave feedback on the Environment &amp; Culture section.  SIT members used the following guiding questions to examine the sample feedback:</w:t>
            </w:r>
          </w:p>
          <w:p w:rsidR="00071C80" w:rsidRDefault="00071C80" w:rsidP="00AD2AA5">
            <w:pPr>
              <w:tabs>
                <w:tab w:val="left" w:pos="2910"/>
              </w:tabs>
            </w:pPr>
          </w:p>
          <w:p w:rsidR="00071C80" w:rsidRPr="00071C80" w:rsidRDefault="00071C80" w:rsidP="00071C80">
            <w:pPr>
              <w:pStyle w:val="NormalWeb"/>
              <w:spacing w:before="0" w:beforeAutospacing="0" w:after="320" w:afterAutospacing="0"/>
              <w:rPr>
                <w:rFonts w:asciiTheme="minorHAnsi" w:hAnsiTheme="minorHAnsi"/>
                <w:sz w:val="22"/>
                <w:szCs w:val="22"/>
              </w:rPr>
            </w:pPr>
            <w:r w:rsidRPr="00071C80">
              <w:rPr>
                <w:rFonts w:asciiTheme="minorHAnsi" w:hAnsiTheme="minorHAnsi" w:cs="Arial"/>
                <w:b/>
                <w:bCs/>
                <w:color w:val="000000"/>
                <w:sz w:val="22"/>
                <w:szCs w:val="22"/>
                <w:u w:val="single"/>
              </w:rPr>
              <w:t>Sample Walkthrough Feedback Protocol</w:t>
            </w:r>
          </w:p>
          <w:p w:rsidR="00071C80" w:rsidRPr="00071C80" w:rsidRDefault="00071C80" w:rsidP="00071C80">
            <w:pPr>
              <w:pStyle w:val="NormalWeb"/>
              <w:numPr>
                <w:ilvl w:val="0"/>
                <w:numId w:val="27"/>
              </w:numPr>
              <w:spacing w:before="0" w:beforeAutospacing="0" w:after="0" w:afterAutospacing="0"/>
              <w:textAlignment w:val="baseline"/>
              <w:rPr>
                <w:rFonts w:asciiTheme="minorHAnsi" w:hAnsiTheme="minorHAnsi" w:cs="Arial"/>
                <w:color w:val="000000"/>
                <w:sz w:val="22"/>
                <w:szCs w:val="22"/>
              </w:rPr>
            </w:pPr>
            <w:r w:rsidRPr="00071C80">
              <w:rPr>
                <w:rFonts w:asciiTheme="minorHAnsi" w:hAnsiTheme="minorHAnsi" w:cs="Arial"/>
                <w:color w:val="000000"/>
                <w:sz w:val="22"/>
                <w:szCs w:val="22"/>
              </w:rPr>
              <w:t>(</w:t>
            </w:r>
            <w:r w:rsidRPr="00071C80">
              <w:rPr>
                <w:rFonts w:asciiTheme="minorHAnsi" w:hAnsiTheme="minorHAnsi" w:cs="Arial"/>
                <w:b/>
                <w:bCs/>
                <w:color w:val="000000"/>
                <w:sz w:val="22"/>
                <w:szCs w:val="22"/>
              </w:rPr>
              <w:t>*) Star what already goes on at ECMS.</w:t>
            </w:r>
          </w:p>
          <w:p w:rsidR="00071C80" w:rsidRPr="00071C80" w:rsidRDefault="00071C80" w:rsidP="00071C80">
            <w:pPr>
              <w:pStyle w:val="NormalWeb"/>
              <w:numPr>
                <w:ilvl w:val="0"/>
                <w:numId w:val="27"/>
              </w:numPr>
              <w:spacing w:before="0" w:beforeAutospacing="0" w:after="0" w:afterAutospacing="0"/>
              <w:textAlignment w:val="baseline"/>
              <w:rPr>
                <w:rFonts w:asciiTheme="minorHAnsi" w:hAnsiTheme="minorHAnsi" w:cs="Arial"/>
                <w:b/>
                <w:bCs/>
                <w:color w:val="000000"/>
                <w:sz w:val="22"/>
                <w:szCs w:val="22"/>
              </w:rPr>
            </w:pPr>
            <w:r w:rsidRPr="00071C80">
              <w:rPr>
                <w:rFonts w:asciiTheme="minorHAnsi" w:hAnsiTheme="minorHAnsi" w:cs="Arial"/>
                <w:b/>
                <w:bCs/>
                <w:color w:val="000000"/>
                <w:sz w:val="22"/>
                <w:szCs w:val="22"/>
                <w:shd w:val="clear" w:color="auto" w:fill="FFFF00"/>
              </w:rPr>
              <w:t>Highlight</w:t>
            </w:r>
            <w:r w:rsidRPr="00071C80">
              <w:rPr>
                <w:rFonts w:asciiTheme="minorHAnsi" w:hAnsiTheme="minorHAnsi" w:cs="Arial"/>
                <w:b/>
                <w:bCs/>
                <w:color w:val="000000"/>
                <w:sz w:val="22"/>
                <w:szCs w:val="22"/>
              </w:rPr>
              <w:t xml:space="preserve"> the areas that your group believes can be placed on our ECMS walkthrough based on the guiding questions below.</w:t>
            </w:r>
          </w:p>
          <w:p w:rsidR="00071C80" w:rsidRPr="00071C80" w:rsidRDefault="00071C80" w:rsidP="00071C80">
            <w:pPr>
              <w:pStyle w:val="NormalWeb"/>
              <w:numPr>
                <w:ilvl w:val="0"/>
                <w:numId w:val="27"/>
              </w:numPr>
              <w:spacing w:before="0" w:beforeAutospacing="0" w:after="320" w:afterAutospacing="0"/>
              <w:textAlignment w:val="baseline"/>
              <w:rPr>
                <w:rFonts w:asciiTheme="minorHAnsi" w:hAnsiTheme="minorHAnsi" w:cs="Arial"/>
                <w:b/>
                <w:bCs/>
                <w:color w:val="000000"/>
                <w:sz w:val="22"/>
                <w:szCs w:val="22"/>
              </w:rPr>
            </w:pPr>
            <w:r w:rsidRPr="00071C80">
              <w:rPr>
                <w:rFonts w:asciiTheme="minorHAnsi" w:hAnsiTheme="minorHAnsi" w:cs="Arial"/>
                <w:b/>
                <w:bCs/>
                <w:color w:val="000000"/>
                <w:sz w:val="22"/>
                <w:szCs w:val="22"/>
              </w:rPr>
              <w:t>(?) Place a question mark for any areas in which you have questions, jot the question next to the strategy or in the notes section.</w:t>
            </w:r>
          </w:p>
          <w:p w:rsidR="00071C80" w:rsidRPr="00071C80" w:rsidRDefault="00071C80" w:rsidP="00071C80">
            <w:pPr>
              <w:pStyle w:val="NormalWeb"/>
              <w:spacing w:before="0" w:beforeAutospacing="0" w:after="320" w:afterAutospacing="0"/>
              <w:rPr>
                <w:rFonts w:asciiTheme="minorHAnsi" w:hAnsiTheme="minorHAnsi"/>
                <w:sz w:val="22"/>
                <w:szCs w:val="22"/>
              </w:rPr>
            </w:pPr>
            <w:r w:rsidRPr="00071C80">
              <w:rPr>
                <w:rFonts w:asciiTheme="minorHAnsi" w:hAnsiTheme="minorHAnsi" w:cs="Arial"/>
                <w:b/>
                <w:bCs/>
                <w:color w:val="000000"/>
                <w:sz w:val="22"/>
                <w:szCs w:val="22"/>
                <w:u w:val="single"/>
              </w:rPr>
              <w:t>Guiding Questions</w:t>
            </w:r>
          </w:p>
          <w:p w:rsidR="00071C80" w:rsidRPr="00071C80" w:rsidRDefault="00071C80" w:rsidP="00071C80">
            <w:pPr>
              <w:pStyle w:val="NormalWeb"/>
              <w:spacing w:before="0" w:beforeAutospacing="0" w:after="320" w:afterAutospacing="0"/>
              <w:rPr>
                <w:rFonts w:asciiTheme="minorHAnsi" w:hAnsiTheme="minorHAnsi"/>
                <w:sz w:val="22"/>
                <w:szCs w:val="22"/>
              </w:rPr>
            </w:pPr>
            <w:r w:rsidRPr="00071C80">
              <w:rPr>
                <w:rFonts w:asciiTheme="minorHAnsi" w:hAnsiTheme="minorHAnsi" w:cs="Arial"/>
                <w:b/>
                <w:bCs/>
                <w:color w:val="000000"/>
                <w:sz w:val="22"/>
                <w:szCs w:val="22"/>
              </w:rPr>
              <w:t>Based on the WCPSS Vision 2020 and the ECMS SIP,</w:t>
            </w:r>
          </w:p>
          <w:p w:rsidR="00071C80" w:rsidRPr="00071C80" w:rsidRDefault="00071C80" w:rsidP="00071C80">
            <w:pPr>
              <w:pStyle w:val="NormalWeb"/>
              <w:numPr>
                <w:ilvl w:val="0"/>
                <w:numId w:val="28"/>
              </w:numPr>
              <w:spacing w:before="0" w:beforeAutospacing="0" w:after="0" w:afterAutospacing="0"/>
              <w:textAlignment w:val="baseline"/>
              <w:rPr>
                <w:rFonts w:asciiTheme="minorHAnsi" w:hAnsiTheme="minorHAnsi" w:cs="Arial"/>
                <w:b/>
                <w:bCs/>
                <w:color w:val="000000"/>
                <w:sz w:val="22"/>
                <w:szCs w:val="22"/>
              </w:rPr>
            </w:pPr>
            <w:r w:rsidRPr="00071C80">
              <w:rPr>
                <w:rFonts w:asciiTheme="minorHAnsi" w:hAnsiTheme="minorHAnsi" w:cs="Arial"/>
                <w:b/>
                <w:bCs/>
                <w:color w:val="000000"/>
                <w:sz w:val="22"/>
                <w:szCs w:val="22"/>
              </w:rPr>
              <w:t>What is valued?</w:t>
            </w:r>
          </w:p>
          <w:p w:rsidR="00071C80" w:rsidRPr="00071C80" w:rsidRDefault="00071C80" w:rsidP="00071C80">
            <w:pPr>
              <w:pStyle w:val="NormalWeb"/>
              <w:numPr>
                <w:ilvl w:val="0"/>
                <w:numId w:val="28"/>
              </w:numPr>
              <w:spacing w:before="0" w:beforeAutospacing="0" w:after="0" w:afterAutospacing="0"/>
              <w:textAlignment w:val="baseline"/>
              <w:rPr>
                <w:rFonts w:asciiTheme="minorHAnsi" w:hAnsiTheme="minorHAnsi" w:cs="Arial"/>
                <w:b/>
                <w:bCs/>
                <w:color w:val="000000"/>
                <w:sz w:val="22"/>
                <w:szCs w:val="22"/>
              </w:rPr>
            </w:pPr>
            <w:r w:rsidRPr="00071C80">
              <w:rPr>
                <w:rFonts w:asciiTheme="minorHAnsi" w:hAnsiTheme="minorHAnsi" w:cs="Arial"/>
                <w:b/>
                <w:bCs/>
                <w:color w:val="000000"/>
                <w:sz w:val="22"/>
                <w:szCs w:val="22"/>
              </w:rPr>
              <w:t>What do we want to see?</w:t>
            </w:r>
          </w:p>
          <w:p w:rsidR="00071C80" w:rsidRPr="00071C80" w:rsidRDefault="00071C80" w:rsidP="00071C80">
            <w:pPr>
              <w:pStyle w:val="NormalWeb"/>
              <w:numPr>
                <w:ilvl w:val="0"/>
                <w:numId w:val="28"/>
              </w:numPr>
              <w:spacing w:before="0" w:beforeAutospacing="0" w:after="320" w:afterAutospacing="0"/>
              <w:textAlignment w:val="baseline"/>
              <w:rPr>
                <w:rFonts w:asciiTheme="minorHAnsi" w:hAnsiTheme="minorHAnsi" w:cs="Arial"/>
                <w:b/>
                <w:bCs/>
                <w:color w:val="000000"/>
                <w:sz w:val="22"/>
                <w:szCs w:val="22"/>
              </w:rPr>
            </w:pPr>
            <w:r w:rsidRPr="00071C80">
              <w:rPr>
                <w:rFonts w:asciiTheme="minorHAnsi" w:hAnsiTheme="minorHAnsi" w:cs="Arial"/>
                <w:b/>
                <w:bCs/>
                <w:color w:val="000000"/>
                <w:sz w:val="22"/>
                <w:szCs w:val="22"/>
              </w:rPr>
              <w:t>How do the non-negotiables align?</w:t>
            </w:r>
          </w:p>
          <w:p w:rsidR="008D24AC" w:rsidRDefault="00071C80" w:rsidP="008D24AC">
            <w:pPr>
              <w:tabs>
                <w:tab w:val="left" w:pos="2910"/>
              </w:tabs>
            </w:pPr>
            <w:r>
              <w:t>Please see the PDF link for the feedback given from various groups</w:t>
            </w:r>
            <w:r w:rsidR="008D24AC">
              <w:t xml:space="preserve">: </w:t>
            </w:r>
            <w:hyperlink r:id="rId7" w:history="1">
              <w:r w:rsidR="008D24AC" w:rsidRPr="008D24AC">
                <w:rPr>
                  <w:rStyle w:val="Hyperlink"/>
                </w:rPr>
                <w:t>Sample Walkthrough Feedback</w:t>
              </w:r>
            </w:hyperlink>
          </w:p>
          <w:p w:rsidR="008D24AC" w:rsidRDefault="008D24AC" w:rsidP="008D24AC">
            <w:pPr>
              <w:tabs>
                <w:tab w:val="left" w:pos="2910"/>
              </w:tabs>
            </w:pPr>
            <w:r>
              <w:t>*If the link does not work, please see the PDF attached to the SIP Minutes e-mail.</w:t>
            </w:r>
          </w:p>
          <w:p w:rsidR="00071C80" w:rsidRPr="00981BFE" w:rsidRDefault="00071C80" w:rsidP="008D24AC">
            <w:pPr>
              <w:tabs>
                <w:tab w:val="left" w:pos="2910"/>
              </w:tabs>
            </w:pPr>
            <w:bookmarkStart w:id="0" w:name="_GoBack"/>
            <w:bookmarkEnd w:id="0"/>
            <w:r>
              <w:t xml:space="preserve"> </w:t>
            </w:r>
          </w:p>
        </w:tc>
      </w:tr>
      <w:tr w:rsidR="006C3C40" w:rsidTr="001307C0">
        <w:tc>
          <w:tcPr>
            <w:tcW w:w="3294" w:type="dxa"/>
          </w:tcPr>
          <w:p w:rsidR="006C3C40" w:rsidRPr="009477C7" w:rsidRDefault="006C3C40" w:rsidP="006C3C40">
            <w:pPr>
              <w:tabs>
                <w:tab w:val="left" w:pos="2910"/>
              </w:tabs>
            </w:pPr>
            <w:r w:rsidRPr="009477C7">
              <w:lastRenderedPageBreak/>
              <w:t xml:space="preserve">Next Steps </w:t>
            </w:r>
          </w:p>
          <w:p w:rsidR="006C3C40" w:rsidRPr="009477C7" w:rsidRDefault="006C3C40" w:rsidP="006C3C40">
            <w:pPr>
              <w:tabs>
                <w:tab w:val="left" w:pos="2910"/>
              </w:tabs>
            </w:pPr>
          </w:p>
          <w:p w:rsidR="006C3C40" w:rsidRPr="009477C7" w:rsidRDefault="006C3C40" w:rsidP="006C3C40">
            <w:pPr>
              <w:tabs>
                <w:tab w:val="left" w:pos="2910"/>
              </w:tabs>
              <w:rPr>
                <w:b/>
              </w:rPr>
            </w:pPr>
          </w:p>
          <w:p w:rsidR="006C3C40" w:rsidRPr="009477C7" w:rsidRDefault="006C3C40" w:rsidP="006C3C40">
            <w:pPr>
              <w:tabs>
                <w:tab w:val="left" w:pos="2910"/>
              </w:tabs>
              <w:rPr>
                <w:b/>
              </w:rPr>
            </w:pPr>
          </w:p>
          <w:p w:rsidR="006C3C40" w:rsidRPr="009477C7" w:rsidRDefault="006C3C40" w:rsidP="006C3C40">
            <w:pPr>
              <w:tabs>
                <w:tab w:val="left" w:pos="2910"/>
              </w:tabs>
              <w:rPr>
                <w:b/>
              </w:rPr>
            </w:pPr>
            <w:r w:rsidRPr="009477C7">
              <w:rPr>
                <w:b/>
              </w:rPr>
              <w:t xml:space="preserve">Next Meeting: </w:t>
            </w:r>
          </w:p>
          <w:p w:rsidR="006C3C40" w:rsidRPr="009477C7" w:rsidRDefault="006C3C40" w:rsidP="006C3C40">
            <w:pPr>
              <w:tabs>
                <w:tab w:val="left" w:pos="2910"/>
              </w:tabs>
            </w:pPr>
            <w:r w:rsidRPr="009477C7">
              <w:rPr>
                <w:b/>
              </w:rPr>
              <w:t>Monday, October 17</w:t>
            </w:r>
            <w:r w:rsidRPr="009477C7">
              <w:rPr>
                <w:b/>
                <w:vertAlign w:val="superscript"/>
              </w:rPr>
              <w:t>th</w:t>
            </w:r>
            <w:r w:rsidRPr="009477C7">
              <w:rPr>
                <w:b/>
              </w:rPr>
              <w:t>, 2016</w:t>
            </w:r>
            <w:r w:rsidRPr="009477C7">
              <w:t xml:space="preserve"> </w:t>
            </w:r>
          </w:p>
        </w:tc>
        <w:tc>
          <w:tcPr>
            <w:tcW w:w="2120" w:type="dxa"/>
          </w:tcPr>
          <w:p w:rsidR="006C3C40" w:rsidRPr="009477C7" w:rsidRDefault="006C3C40" w:rsidP="006C3C40">
            <w:pPr>
              <w:tabs>
                <w:tab w:val="left" w:pos="2910"/>
              </w:tabs>
            </w:pPr>
            <w:r w:rsidRPr="009477C7">
              <w:t xml:space="preserve">L. </w:t>
            </w:r>
            <w:proofErr w:type="spellStart"/>
            <w:r w:rsidRPr="009477C7">
              <w:t>Haynie</w:t>
            </w:r>
            <w:proofErr w:type="spellEnd"/>
          </w:p>
        </w:tc>
        <w:tc>
          <w:tcPr>
            <w:tcW w:w="3510" w:type="dxa"/>
          </w:tcPr>
          <w:p w:rsidR="006C3C40" w:rsidRPr="009477C7" w:rsidRDefault="006C3C40" w:rsidP="006C3C40">
            <w:pPr>
              <w:pStyle w:val="ListParagraph"/>
              <w:numPr>
                <w:ilvl w:val="0"/>
                <w:numId w:val="10"/>
              </w:numPr>
              <w:tabs>
                <w:tab w:val="left" w:pos="2910"/>
              </w:tabs>
            </w:pPr>
            <w:r w:rsidRPr="009477C7">
              <w:t>Discussion of committees and action steps needed to be completed by SIT members to prepare for the 1</w:t>
            </w:r>
            <w:r w:rsidRPr="009477C7">
              <w:rPr>
                <w:vertAlign w:val="superscript"/>
              </w:rPr>
              <w:t>st</w:t>
            </w:r>
            <w:r w:rsidRPr="009477C7">
              <w:t xml:space="preserve"> Quarterly review in November.</w:t>
            </w:r>
          </w:p>
          <w:p w:rsidR="006C3C40" w:rsidRPr="009477C7" w:rsidRDefault="006C3C40" w:rsidP="006C3C40">
            <w:pPr>
              <w:pStyle w:val="ListParagraph"/>
              <w:numPr>
                <w:ilvl w:val="0"/>
                <w:numId w:val="10"/>
              </w:numPr>
              <w:tabs>
                <w:tab w:val="left" w:pos="2910"/>
              </w:tabs>
            </w:pPr>
            <w:r w:rsidRPr="009477C7">
              <w:t xml:space="preserve">Changes to the SIP are coming due to change in legislation. </w:t>
            </w:r>
          </w:p>
        </w:tc>
        <w:tc>
          <w:tcPr>
            <w:tcW w:w="1866" w:type="dxa"/>
          </w:tcPr>
          <w:p w:rsidR="006C3C40" w:rsidRPr="009477C7" w:rsidRDefault="006C3C40" w:rsidP="006C3C40">
            <w:pPr>
              <w:tabs>
                <w:tab w:val="left" w:pos="2910"/>
              </w:tabs>
            </w:pPr>
            <w:r w:rsidRPr="009477C7">
              <w:t>3 minutes</w:t>
            </w:r>
          </w:p>
        </w:tc>
      </w:tr>
      <w:tr w:rsidR="006C3C40" w:rsidTr="00AC66F9">
        <w:tc>
          <w:tcPr>
            <w:tcW w:w="10790" w:type="dxa"/>
            <w:gridSpan w:val="4"/>
          </w:tcPr>
          <w:p w:rsidR="006C3C40" w:rsidRDefault="006C3C40" w:rsidP="006C3C40">
            <w:pPr>
              <w:tabs>
                <w:tab w:val="left" w:pos="2910"/>
              </w:tabs>
              <w:rPr>
                <w:sz w:val="24"/>
                <w:szCs w:val="24"/>
              </w:rPr>
            </w:pPr>
          </w:p>
          <w:p w:rsidR="006C3C40" w:rsidRDefault="006C3C40" w:rsidP="006C3C40">
            <w:pPr>
              <w:pStyle w:val="ListParagraph"/>
              <w:numPr>
                <w:ilvl w:val="0"/>
                <w:numId w:val="25"/>
              </w:numPr>
              <w:tabs>
                <w:tab w:val="left" w:pos="2910"/>
              </w:tabs>
              <w:rPr>
                <w:sz w:val="24"/>
                <w:szCs w:val="24"/>
              </w:rPr>
            </w:pPr>
            <w:r>
              <w:rPr>
                <w:sz w:val="24"/>
                <w:szCs w:val="24"/>
              </w:rPr>
              <w:t>The next step in our walkthrough instrument creation will be completed which includes looking at a sample walkthrough for ECMS.</w:t>
            </w:r>
          </w:p>
          <w:p w:rsidR="006C3C40" w:rsidRDefault="006C3C40" w:rsidP="006C3C40">
            <w:pPr>
              <w:pStyle w:val="ListParagraph"/>
              <w:numPr>
                <w:ilvl w:val="0"/>
                <w:numId w:val="25"/>
              </w:numPr>
              <w:tabs>
                <w:tab w:val="left" w:pos="2910"/>
              </w:tabs>
              <w:rPr>
                <w:sz w:val="24"/>
                <w:szCs w:val="24"/>
              </w:rPr>
            </w:pPr>
            <w:r>
              <w:rPr>
                <w:sz w:val="24"/>
                <w:szCs w:val="24"/>
              </w:rPr>
              <w:t>SIT members will be divided into two committees based on the two Key Processes in our SIP.  A list of action steps will be given to each committee to be completed prior to the November meeting which will be ECMS’ 1</w:t>
            </w:r>
            <w:r w:rsidRPr="006C3C40">
              <w:rPr>
                <w:sz w:val="24"/>
                <w:szCs w:val="24"/>
                <w:vertAlign w:val="superscript"/>
              </w:rPr>
              <w:t>st</w:t>
            </w:r>
            <w:r>
              <w:rPr>
                <w:sz w:val="24"/>
                <w:szCs w:val="24"/>
              </w:rPr>
              <w:t xml:space="preserve"> Quarterly Review.</w:t>
            </w:r>
          </w:p>
          <w:p w:rsidR="006C3C40" w:rsidRPr="006C3C40" w:rsidRDefault="006C3C40" w:rsidP="006C3C40">
            <w:pPr>
              <w:pStyle w:val="ListParagraph"/>
              <w:numPr>
                <w:ilvl w:val="0"/>
                <w:numId w:val="25"/>
              </w:numPr>
              <w:tabs>
                <w:tab w:val="left" w:pos="2910"/>
              </w:tabs>
              <w:rPr>
                <w:sz w:val="24"/>
                <w:szCs w:val="24"/>
              </w:rPr>
            </w:pPr>
            <w:r>
              <w:rPr>
                <w:sz w:val="24"/>
                <w:szCs w:val="24"/>
              </w:rPr>
              <w:t>Updated information will be given about legislation changes in regards to AMO subgroups due to ‘No Child Left Behind’ going away an</w:t>
            </w:r>
            <w:r w:rsidR="00600062">
              <w:rPr>
                <w:sz w:val="24"/>
                <w:szCs w:val="24"/>
              </w:rPr>
              <w:t>d ESSA coming beginning in 2017-2018.</w:t>
            </w:r>
          </w:p>
          <w:p w:rsidR="006C3C40" w:rsidRPr="00353B44" w:rsidRDefault="006C3C40" w:rsidP="006C3C40">
            <w:pPr>
              <w:pStyle w:val="ListParagraph"/>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755D82" w:rsidRPr="00167F30" w:rsidRDefault="00755D82" w:rsidP="00755D82">
      <w:pPr>
        <w:autoSpaceDE w:val="0"/>
        <w:autoSpaceDN w:val="0"/>
        <w:adjustRightInd w:val="0"/>
        <w:spacing w:after="0" w:line="240" w:lineRule="auto"/>
        <w:jc w:val="center"/>
        <w:rPr>
          <w:rFonts w:cs="DejaVuSansCondensed-Bold"/>
          <w:b/>
          <w:bCs/>
          <w:sz w:val="26"/>
          <w:szCs w:val="26"/>
        </w:rPr>
      </w:pPr>
      <w:r w:rsidRPr="00167F30">
        <w:rPr>
          <w:rFonts w:cs="DejaVuSansCondensed-Bold"/>
          <w:b/>
          <w:bCs/>
          <w:sz w:val="26"/>
          <w:szCs w:val="26"/>
        </w:rPr>
        <w:t xml:space="preserve">By June 2018, East Cary Middle School will meet or exceed expected growth by increasing proficiency from </w:t>
      </w:r>
      <w:r>
        <w:rPr>
          <w:rFonts w:cs="DejaVuSansCondensed-Bold"/>
          <w:b/>
          <w:bCs/>
          <w:sz w:val="26"/>
          <w:szCs w:val="26"/>
        </w:rPr>
        <w:t>74.4% to 76.0%</w:t>
      </w:r>
      <w:r w:rsidRPr="00167F30">
        <w:rPr>
          <w:rFonts w:cs="DejaVuSansCondensed-Bold"/>
          <w:b/>
          <w:bCs/>
          <w:sz w:val="26"/>
          <w:szCs w:val="26"/>
        </w:rPr>
        <w:t xml:space="preserve"> in reading and math as reported by EVAAS with a focus on Hispanic, Black, and SWD subgroups meeting AMO targets as measured by EOG/C scores.</w:t>
      </w:r>
    </w:p>
    <w:p w:rsidR="00D236DA" w:rsidRPr="00D236DA" w:rsidRDefault="00D236DA" w:rsidP="00404FE7">
      <w:pPr>
        <w:tabs>
          <w:tab w:val="left" w:pos="2910"/>
        </w:tabs>
        <w:jc w:val="center"/>
        <w:rPr>
          <w:b/>
          <w:sz w:val="28"/>
          <w:szCs w:val="28"/>
        </w:rPr>
      </w:pP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7691"/>
    <w:multiLevelType w:val="hybridMultilevel"/>
    <w:tmpl w:val="DF36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4131C"/>
    <w:multiLevelType w:val="multilevel"/>
    <w:tmpl w:val="A562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6F6A8E"/>
    <w:multiLevelType w:val="multilevel"/>
    <w:tmpl w:val="24E6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976F4"/>
    <w:multiLevelType w:val="hybridMultilevel"/>
    <w:tmpl w:val="5C3853F4"/>
    <w:lvl w:ilvl="0" w:tplc="4F584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D9A"/>
    <w:multiLevelType w:val="hybridMultilevel"/>
    <w:tmpl w:val="579A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D31701"/>
    <w:multiLevelType w:val="hybridMultilevel"/>
    <w:tmpl w:val="165A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73BE8"/>
    <w:multiLevelType w:val="hybridMultilevel"/>
    <w:tmpl w:val="DF1A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93C8E"/>
    <w:multiLevelType w:val="hybridMultilevel"/>
    <w:tmpl w:val="10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7"/>
  </w:num>
  <w:num w:numId="4">
    <w:abstractNumId w:val="0"/>
  </w:num>
  <w:num w:numId="5">
    <w:abstractNumId w:val="5"/>
  </w:num>
  <w:num w:numId="6">
    <w:abstractNumId w:val="11"/>
  </w:num>
  <w:num w:numId="7">
    <w:abstractNumId w:val="13"/>
  </w:num>
  <w:num w:numId="8">
    <w:abstractNumId w:val="20"/>
  </w:num>
  <w:num w:numId="9">
    <w:abstractNumId w:val="12"/>
  </w:num>
  <w:num w:numId="10">
    <w:abstractNumId w:val="3"/>
  </w:num>
  <w:num w:numId="11">
    <w:abstractNumId w:val="7"/>
  </w:num>
  <w:num w:numId="12">
    <w:abstractNumId w:val="24"/>
  </w:num>
  <w:num w:numId="13">
    <w:abstractNumId w:val="21"/>
  </w:num>
  <w:num w:numId="14">
    <w:abstractNumId w:val="23"/>
  </w:num>
  <w:num w:numId="15">
    <w:abstractNumId w:val="10"/>
  </w:num>
  <w:num w:numId="16">
    <w:abstractNumId w:val="15"/>
  </w:num>
  <w:num w:numId="17">
    <w:abstractNumId w:val="18"/>
  </w:num>
  <w:num w:numId="18">
    <w:abstractNumId w:val="6"/>
  </w:num>
  <w:num w:numId="19">
    <w:abstractNumId w:val="1"/>
  </w:num>
  <w:num w:numId="20">
    <w:abstractNumId w:val="1"/>
    <w:lvlOverride w:ilvl="1">
      <w:lvl w:ilvl="1">
        <w:numFmt w:val="lowerLetter"/>
        <w:lvlText w:val="%2."/>
        <w:lvlJc w:val="left"/>
      </w:lvl>
    </w:lvlOverride>
  </w:num>
  <w:num w:numId="21">
    <w:abstractNumId w:val="16"/>
  </w:num>
  <w:num w:numId="22">
    <w:abstractNumId w:val="22"/>
  </w:num>
  <w:num w:numId="23">
    <w:abstractNumId w:val="14"/>
  </w:num>
  <w:num w:numId="24">
    <w:abstractNumId w:val="26"/>
  </w:num>
  <w:num w:numId="25">
    <w:abstractNumId w:val="19"/>
  </w:num>
  <w:num w:numId="26">
    <w:abstractNumId w:val="4"/>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051C85"/>
    <w:rsid w:val="00071C80"/>
    <w:rsid w:val="001307C0"/>
    <w:rsid w:val="001325E6"/>
    <w:rsid w:val="00165A9C"/>
    <w:rsid w:val="001A3E19"/>
    <w:rsid w:val="0024289C"/>
    <w:rsid w:val="00252368"/>
    <w:rsid w:val="002F624B"/>
    <w:rsid w:val="00353B44"/>
    <w:rsid w:val="00372288"/>
    <w:rsid w:val="003918BB"/>
    <w:rsid w:val="003A1EA9"/>
    <w:rsid w:val="0040338C"/>
    <w:rsid w:val="00404FE7"/>
    <w:rsid w:val="004366A5"/>
    <w:rsid w:val="004C2A76"/>
    <w:rsid w:val="004E4952"/>
    <w:rsid w:val="004E730F"/>
    <w:rsid w:val="0052204B"/>
    <w:rsid w:val="00561675"/>
    <w:rsid w:val="00600062"/>
    <w:rsid w:val="00621475"/>
    <w:rsid w:val="00632B17"/>
    <w:rsid w:val="00641372"/>
    <w:rsid w:val="006502C3"/>
    <w:rsid w:val="00676058"/>
    <w:rsid w:val="00682B94"/>
    <w:rsid w:val="006C3C40"/>
    <w:rsid w:val="00714D5B"/>
    <w:rsid w:val="00723AEF"/>
    <w:rsid w:val="00734FB8"/>
    <w:rsid w:val="0074038B"/>
    <w:rsid w:val="007424F4"/>
    <w:rsid w:val="00743E2D"/>
    <w:rsid w:val="00755D82"/>
    <w:rsid w:val="00766095"/>
    <w:rsid w:val="00767B42"/>
    <w:rsid w:val="00785281"/>
    <w:rsid w:val="00810F6A"/>
    <w:rsid w:val="00812D3A"/>
    <w:rsid w:val="0086470E"/>
    <w:rsid w:val="008D24AC"/>
    <w:rsid w:val="008E596F"/>
    <w:rsid w:val="00900542"/>
    <w:rsid w:val="0092169C"/>
    <w:rsid w:val="00957ADA"/>
    <w:rsid w:val="009A15A4"/>
    <w:rsid w:val="00AA37D9"/>
    <w:rsid w:val="00AC66F9"/>
    <w:rsid w:val="00AD103A"/>
    <w:rsid w:val="00AD2AA5"/>
    <w:rsid w:val="00AD7DD9"/>
    <w:rsid w:val="00B71CEF"/>
    <w:rsid w:val="00BF3CFE"/>
    <w:rsid w:val="00C70B71"/>
    <w:rsid w:val="00C97610"/>
    <w:rsid w:val="00CA2445"/>
    <w:rsid w:val="00CB42BA"/>
    <w:rsid w:val="00CC7FA8"/>
    <w:rsid w:val="00CD3F0E"/>
    <w:rsid w:val="00D02427"/>
    <w:rsid w:val="00D236DA"/>
    <w:rsid w:val="00D25061"/>
    <w:rsid w:val="00D35884"/>
    <w:rsid w:val="00D47422"/>
    <w:rsid w:val="00E01100"/>
    <w:rsid w:val="00E05E3F"/>
    <w:rsid w:val="00E3309C"/>
    <w:rsid w:val="00E62E48"/>
    <w:rsid w:val="00E825B2"/>
    <w:rsid w:val="00EA6A5D"/>
    <w:rsid w:val="00EB2ABB"/>
    <w:rsid w:val="00EB36E6"/>
    <w:rsid w:val="00EE59AA"/>
    <w:rsid w:val="00F5680F"/>
    <w:rsid w:val="00FC0C69"/>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4D5B"/>
    <w:pPr>
      <w:spacing w:after="0" w:line="240" w:lineRule="auto"/>
    </w:pPr>
    <w:rPr>
      <w:rFonts w:eastAsiaTheme="minorEastAsia"/>
    </w:rPr>
  </w:style>
  <w:style w:type="character" w:styleId="Hyperlink">
    <w:name w:val="Hyperlink"/>
    <w:basedOn w:val="DefaultParagraphFont"/>
    <w:uiPriority w:val="99"/>
    <w:unhideWhenUsed/>
    <w:rsid w:val="0035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9823">
      <w:bodyDiv w:val="1"/>
      <w:marLeft w:val="0"/>
      <w:marRight w:val="0"/>
      <w:marTop w:val="0"/>
      <w:marBottom w:val="0"/>
      <w:divBdr>
        <w:top w:val="none" w:sz="0" w:space="0" w:color="auto"/>
        <w:left w:val="none" w:sz="0" w:space="0" w:color="auto"/>
        <w:bottom w:val="none" w:sz="0" w:space="0" w:color="auto"/>
        <w:right w:val="none" w:sz="0" w:space="0" w:color="auto"/>
      </w:divBdr>
      <w:divsChild>
        <w:div w:id="184025901">
          <w:marLeft w:val="0"/>
          <w:marRight w:val="0"/>
          <w:marTop w:val="0"/>
          <w:marBottom w:val="0"/>
          <w:divBdr>
            <w:top w:val="none" w:sz="0" w:space="0" w:color="auto"/>
            <w:left w:val="none" w:sz="0" w:space="0" w:color="auto"/>
            <w:bottom w:val="none" w:sz="0" w:space="0" w:color="auto"/>
            <w:right w:val="none" w:sz="0" w:space="0" w:color="auto"/>
          </w:divBdr>
        </w:div>
        <w:div w:id="1574197075">
          <w:marLeft w:val="0"/>
          <w:marRight w:val="0"/>
          <w:marTop w:val="0"/>
          <w:marBottom w:val="0"/>
          <w:divBdr>
            <w:top w:val="none" w:sz="0" w:space="0" w:color="auto"/>
            <w:left w:val="none" w:sz="0" w:space="0" w:color="auto"/>
            <w:bottom w:val="none" w:sz="0" w:space="0" w:color="auto"/>
            <w:right w:val="none" w:sz="0" w:space="0" w:color="auto"/>
          </w:divBdr>
        </w:div>
        <w:div w:id="665668564">
          <w:marLeft w:val="0"/>
          <w:marRight w:val="0"/>
          <w:marTop w:val="0"/>
          <w:marBottom w:val="0"/>
          <w:divBdr>
            <w:top w:val="none" w:sz="0" w:space="0" w:color="auto"/>
            <w:left w:val="none" w:sz="0" w:space="0" w:color="auto"/>
            <w:bottom w:val="none" w:sz="0" w:space="0" w:color="auto"/>
            <w:right w:val="none" w:sz="0" w:space="0" w:color="auto"/>
          </w:divBdr>
        </w:div>
        <w:div w:id="708456943">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34881509">
          <w:marLeft w:val="0"/>
          <w:marRight w:val="0"/>
          <w:marTop w:val="0"/>
          <w:marBottom w:val="0"/>
          <w:divBdr>
            <w:top w:val="none" w:sz="0" w:space="0" w:color="auto"/>
            <w:left w:val="none" w:sz="0" w:space="0" w:color="auto"/>
            <w:bottom w:val="none" w:sz="0" w:space="0" w:color="auto"/>
            <w:right w:val="none" w:sz="0" w:space="0" w:color="auto"/>
          </w:divBdr>
        </w:div>
        <w:div w:id="204752738">
          <w:marLeft w:val="0"/>
          <w:marRight w:val="0"/>
          <w:marTop w:val="0"/>
          <w:marBottom w:val="0"/>
          <w:divBdr>
            <w:top w:val="none" w:sz="0" w:space="0" w:color="auto"/>
            <w:left w:val="none" w:sz="0" w:space="0" w:color="auto"/>
            <w:bottom w:val="none" w:sz="0" w:space="0" w:color="auto"/>
            <w:right w:val="none" w:sz="0" w:space="0" w:color="auto"/>
          </w:divBdr>
        </w:div>
      </w:divsChild>
    </w:div>
    <w:div w:id="832572672">
      <w:bodyDiv w:val="1"/>
      <w:marLeft w:val="0"/>
      <w:marRight w:val="0"/>
      <w:marTop w:val="0"/>
      <w:marBottom w:val="0"/>
      <w:divBdr>
        <w:top w:val="none" w:sz="0" w:space="0" w:color="auto"/>
        <w:left w:val="none" w:sz="0" w:space="0" w:color="auto"/>
        <w:bottom w:val="none" w:sz="0" w:space="0" w:color="auto"/>
        <w:right w:val="none" w:sz="0" w:space="0" w:color="auto"/>
      </w:divBdr>
    </w:div>
    <w:div w:id="919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a/wcpss.net/file/d/0B5NyVEUSMDRHRnZKYUgyWFVZNkU/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9</cp:revision>
  <dcterms:created xsi:type="dcterms:W3CDTF">2016-09-21T12:11:00Z</dcterms:created>
  <dcterms:modified xsi:type="dcterms:W3CDTF">2016-09-21T12:29:00Z</dcterms:modified>
</cp:coreProperties>
</file>